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89B8D" w14:textId="60EEA637" w:rsidR="00EA5B9A" w:rsidRPr="000A686C" w:rsidRDefault="00EA5B9A" w:rsidP="00EA5B9A">
      <w:pPr>
        <w:tabs>
          <w:tab w:val="center" w:pos="4536"/>
          <w:tab w:val="right" w:pos="7938"/>
          <w:tab w:val="right" w:pos="9639"/>
        </w:tabs>
        <w:spacing w:after="0"/>
        <w:rPr>
          <w:rFonts w:ascii="Arial" w:eastAsia="MS Mincho" w:hAnsi="Arial" w:cs="Arial"/>
          <w:b/>
          <w:bCs/>
          <w:sz w:val="26"/>
          <w:szCs w:val="26"/>
          <w:lang w:eastAsia="ja-JP"/>
        </w:rPr>
      </w:pPr>
      <w:bookmarkStart w:id="0" w:name="Title"/>
      <w:bookmarkStart w:id="1" w:name="DocumentFor"/>
      <w:bookmarkStart w:id="2" w:name="_Hlk126822430"/>
      <w:bookmarkStart w:id="3" w:name="_Ref462675860"/>
      <w:bookmarkEnd w:id="0"/>
      <w:bookmarkEnd w:id="1"/>
      <w:r w:rsidRPr="00BA10FB">
        <w:rPr>
          <w:rFonts w:ascii="Arial" w:eastAsia="MS Mincho" w:hAnsi="Arial" w:cs="Arial"/>
          <w:b/>
          <w:bCs/>
          <w:sz w:val="26"/>
          <w:szCs w:val="26"/>
          <w:lang w:eastAsia="ja-JP"/>
        </w:rPr>
        <w:t>3GPP TSG-RAN WG4 Meeting #106</w:t>
      </w:r>
      <w:r w:rsidRPr="00BA10FB">
        <w:rPr>
          <w:rFonts w:ascii="Arial" w:hAnsi="Arial" w:cs="Arial"/>
          <w:b/>
          <w:bCs/>
          <w:sz w:val="26"/>
          <w:szCs w:val="26"/>
          <w:lang w:val="de-DE"/>
        </w:rPr>
        <w:tab/>
      </w:r>
      <w:r w:rsidRPr="00BA10FB">
        <w:rPr>
          <w:rFonts w:ascii="Arial" w:hAnsi="Arial" w:cs="Arial"/>
          <w:b/>
          <w:bCs/>
          <w:sz w:val="26"/>
          <w:szCs w:val="26"/>
          <w:lang w:val="de-DE"/>
        </w:rPr>
        <w:tab/>
      </w:r>
      <w:r w:rsidRPr="00BA10FB">
        <w:rPr>
          <w:rFonts w:ascii="Arial" w:hAnsi="Arial" w:cs="Arial"/>
          <w:b/>
          <w:bCs/>
          <w:sz w:val="26"/>
          <w:szCs w:val="26"/>
          <w:lang w:val="de-DE"/>
        </w:rPr>
        <w:tab/>
        <w:t xml:space="preserve">    </w:t>
      </w:r>
      <w:r w:rsidRPr="000A686C">
        <w:rPr>
          <w:rFonts w:ascii="Arial" w:eastAsia="MS Mincho" w:hAnsi="Arial" w:cs="Arial"/>
          <w:b/>
          <w:bCs/>
          <w:sz w:val="26"/>
          <w:szCs w:val="26"/>
          <w:lang w:eastAsia="ja-JP"/>
        </w:rPr>
        <w:t>R4-230</w:t>
      </w:r>
      <w:r>
        <w:rPr>
          <w:rFonts w:ascii="Arial" w:eastAsia="MS Mincho" w:hAnsi="Arial" w:cs="Arial"/>
          <w:b/>
          <w:bCs/>
          <w:sz w:val="26"/>
          <w:szCs w:val="26"/>
          <w:lang w:eastAsia="ja-JP"/>
        </w:rPr>
        <w:t>0508</w:t>
      </w:r>
    </w:p>
    <w:p w14:paraId="65845AD8" w14:textId="77777777" w:rsidR="00EA5B9A" w:rsidRPr="00BA10FB" w:rsidRDefault="00EA5B9A" w:rsidP="00EA5B9A">
      <w:pPr>
        <w:tabs>
          <w:tab w:val="center" w:pos="4536"/>
          <w:tab w:val="right" w:pos="9072"/>
        </w:tabs>
        <w:rPr>
          <w:rFonts w:ascii="Arial" w:hAnsi="Arial" w:cs="Arial"/>
          <w:b/>
          <w:bCs/>
          <w:sz w:val="26"/>
          <w:szCs w:val="26"/>
          <w:lang w:val="de-DE"/>
        </w:rPr>
      </w:pPr>
      <w:r w:rsidRPr="00BA10FB">
        <w:rPr>
          <w:rFonts w:ascii="Arial" w:hAnsi="Arial" w:cs="Arial"/>
          <w:b/>
          <w:bCs/>
          <w:sz w:val="26"/>
          <w:szCs w:val="26"/>
          <w:lang w:val="de-DE"/>
        </w:rPr>
        <w:t>Athens Greece, February 27th – March 3rd, 2023</w:t>
      </w:r>
    </w:p>
    <w:bookmarkEnd w:id="2"/>
    <w:p w14:paraId="219DFC98" w14:textId="6F424A96" w:rsidR="00EA5B9A" w:rsidRPr="00785E35" w:rsidRDefault="00EA5B9A" w:rsidP="00EA5B9A">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4" w:name="Source"/>
      <w:bookmarkEnd w:id="4"/>
      <w:r>
        <w:rPr>
          <w:rFonts w:ascii="Arial" w:hAnsi="Arial"/>
          <w:sz w:val="24"/>
        </w:rPr>
        <w:t>9.13.1.3</w:t>
      </w:r>
    </w:p>
    <w:p w14:paraId="44F00AD1" w14:textId="77777777" w:rsidR="00EA5B9A" w:rsidRPr="00785E35" w:rsidRDefault="00EA5B9A" w:rsidP="00EA5B9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 xml:space="preserve">Qualcomm </w:t>
      </w:r>
      <w:r>
        <w:rPr>
          <w:rFonts w:ascii="Arial" w:hAnsi="Arial"/>
          <w:sz w:val="24"/>
        </w:rPr>
        <w:t>Incorporated</w:t>
      </w:r>
    </w:p>
    <w:p w14:paraId="47DBC539" w14:textId="0FD67D62" w:rsidR="00EA5B9A" w:rsidRPr="00785E35" w:rsidRDefault="00EA5B9A" w:rsidP="00EA5B9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Pr="00720755">
        <w:rPr>
          <w:rFonts w:ascii="Arial" w:hAnsi="Arial"/>
          <w:sz w:val="24"/>
        </w:rPr>
        <w:t xml:space="preserve">On the ATG co-existence </w:t>
      </w:r>
      <w:r>
        <w:rPr>
          <w:rFonts w:ascii="Arial" w:hAnsi="Arial"/>
          <w:sz w:val="24"/>
        </w:rPr>
        <w:t>parameters and modeling</w:t>
      </w:r>
    </w:p>
    <w:p w14:paraId="5529F89E" w14:textId="500A5CA0" w:rsidR="00EA5B9A" w:rsidRPr="00785E35" w:rsidRDefault="00EA5B9A" w:rsidP="00EA5B9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r>
        <w:rPr>
          <w:rFonts w:ascii="Arial" w:hAnsi="Arial"/>
          <w:sz w:val="24"/>
        </w:rPr>
        <w:t>Discussion</w:t>
      </w:r>
    </w:p>
    <w:p w14:paraId="4633A83B" w14:textId="77777777" w:rsidR="00EA5B9A" w:rsidRPr="00785E35" w:rsidRDefault="00EA5B9A" w:rsidP="00EA5B9A">
      <w:pPr>
        <w:pStyle w:val="Heading1"/>
        <w:jc w:val="both"/>
      </w:pPr>
      <w:bookmarkStart w:id="5" w:name="_Ref465963108"/>
      <w:r w:rsidRPr="00785E35">
        <w:t>Introduction</w:t>
      </w:r>
      <w:bookmarkEnd w:id="3"/>
      <w:bookmarkEnd w:id="5"/>
    </w:p>
    <w:p w14:paraId="46C9A950" w14:textId="0BB2C818" w:rsidR="00EA5B9A" w:rsidRDefault="00EA5B9A" w:rsidP="00EA5B9A">
      <w:r>
        <w:t xml:space="preserve">In last RAN4#105 meeting, progress, captured in [1], was made regarding Air-to-ground co-existence evaluation. In this contribution we address </w:t>
      </w:r>
      <w:r w:rsidR="00241EC9">
        <w:t xml:space="preserve">issues related to co-existence </w:t>
      </w:r>
      <w:r w:rsidR="009C0A5B">
        <w:t xml:space="preserve">parameters and BS </w:t>
      </w:r>
      <w:r w:rsidR="0094784C">
        <w:t>modelling in</w:t>
      </w:r>
      <w:r>
        <w:t xml:space="preserve"> [1] and provide our views </w:t>
      </w:r>
      <w:r w:rsidR="009C0A5B">
        <w:t xml:space="preserve">on them. </w:t>
      </w:r>
    </w:p>
    <w:p w14:paraId="09B981C0" w14:textId="77777777" w:rsidR="00EA5B9A" w:rsidRPr="00A40ED9" w:rsidRDefault="00EA5B9A" w:rsidP="00EA5B9A">
      <w:pPr>
        <w:pStyle w:val="Heading1"/>
        <w:rPr>
          <w:lang w:eastAsia="zh-CN"/>
        </w:rPr>
      </w:pPr>
      <w:bookmarkStart w:id="6" w:name="_Ref525738522"/>
      <w:bookmarkStart w:id="7" w:name="_Ref471731770"/>
      <w:bookmarkStart w:id="8" w:name="_Ref462669569"/>
      <w:r>
        <w:rPr>
          <w:lang w:eastAsia="zh-CN"/>
        </w:rPr>
        <w:t xml:space="preserve">ATG co-existence evaluation   </w:t>
      </w:r>
      <w:bookmarkEnd w:id="6"/>
      <w:bookmarkEnd w:id="7"/>
      <w:bookmarkEnd w:id="8"/>
    </w:p>
    <w:p w14:paraId="37F761CE" w14:textId="687900FE" w:rsidR="00EA5B9A" w:rsidRDefault="00EA5B9A" w:rsidP="00EA5B9A">
      <w:pPr>
        <w:pStyle w:val="Heading2"/>
      </w:pPr>
      <w:r>
        <w:t>Antenna and beamforming modelling for BS</w:t>
      </w:r>
    </w:p>
    <w:p w14:paraId="33F911FA" w14:textId="64385B00" w:rsidR="007B5631" w:rsidRDefault="00EA5B9A" w:rsidP="00EA5B9A">
      <w:pPr>
        <w:rPr>
          <w:lang w:val="en-GB"/>
        </w:rPr>
      </w:pPr>
      <w:r w:rsidRPr="007F0F99">
        <w:rPr>
          <w:lang w:val="en-GB"/>
        </w:rPr>
        <w:t xml:space="preserve">Until now there </w:t>
      </w:r>
      <w:r>
        <w:rPr>
          <w:lang w:val="en-GB"/>
        </w:rPr>
        <w:t xml:space="preserve">is no list of agreements </w:t>
      </w:r>
      <w:r w:rsidRPr="007F0F99">
        <w:rPr>
          <w:lang w:val="en-GB"/>
        </w:rPr>
        <w:t>TN BS antenna pattern</w:t>
      </w:r>
      <w:r w:rsidR="00EC77B7">
        <w:rPr>
          <w:lang w:val="en-GB"/>
        </w:rPr>
        <w:t xml:space="preserve"> for the ATG co-existence </w:t>
      </w:r>
      <w:r w:rsidR="006F0558">
        <w:rPr>
          <w:lang w:val="en-GB"/>
        </w:rPr>
        <w:t>work</w:t>
      </w:r>
      <w:r w:rsidRPr="007F0F99">
        <w:rPr>
          <w:lang w:val="en-GB"/>
        </w:rPr>
        <w:t>,</w:t>
      </w:r>
      <w:r>
        <w:rPr>
          <w:lang w:val="en-GB"/>
        </w:rPr>
        <w:t xml:space="preserve"> and it was suggested in [1]</w:t>
      </w:r>
      <w:r w:rsidRPr="007F0F99">
        <w:rPr>
          <w:lang w:val="en-GB"/>
        </w:rPr>
        <w:t xml:space="preserve"> to reuse the same configuration as in NTN simulation for calibration purpose</w:t>
      </w:r>
      <w:r>
        <w:rPr>
          <w:lang w:val="en-GB"/>
        </w:rPr>
        <w:t xml:space="preserve">s. Additionally, </w:t>
      </w:r>
      <w:r w:rsidRPr="00DF0DFD">
        <w:rPr>
          <w:lang w:val="en-GB"/>
        </w:rPr>
        <w:t>FR1 sub-array-based model, as captured in TR 38.803 section 5.2.3.2.4</w:t>
      </w:r>
      <w:r>
        <w:rPr>
          <w:lang w:val="en-GB"/>
        </w:rPr>
        <w:t xml:space="preserve">, was also considered for calibration purposes. </w:t>
      </w:r>
      <w:r w:rsidR="00963CB7">
        <w:rPr>
          <w:lang w:val="en-GB"/>
        </w:rPr>
        <w:t xml:space="preserve">The extended model based on the subarray </w:t>
      </w:r>
      <w:r w:rsidR="001856DE">
        <w:rPr>
          <w:lang w:val="en-GB"/>
        </w:rPr>
        <w:t>modelling, as explained in [2], was noticed to produce radiation patterns depending on the BS antenna configuration</w:t>
      </w:r>
      <w:r w:rsidR="0086296E">
        <w:rPr>
          <w:lang w:val="en-GB"/>
        </w:rPr>
        <w:t xml:space="preserve"> in the vertical side-lobe region towards the sky. The system level simulations presented in [2], where benchmarked against the legacy model, and no significant difference was observed, which is expected since this scenario was dealing with all the UEs on the same ground level and thus no variation in the elevation plane or angles at the Tx or Rx are expected. </w:t>
      </w:r>
    </w:p>
    <w:p w14:paraId="7A9D1A01" w14:textId="0AD7D39B" w:rsidR="00A96E4D" w:rsidRDefault="0086296E" w:rsidP="00EA5B9A">
      <w:pPr>
        <w:rPr>
          <w:lang w:val="en-GB"/>
        </w:rPr>
      </w:pPr>
      <w:r>
        <w:rPr>
          <w:lang w:val="en-GB"/>
        </w:rPr>
        <w:t xml:space="preserve">However, for ATG scenarios and coexistence with TN deployments, it is expected that the ATG BS will </w:t>
      </w:r>
      <w:r w:rsidR="007540D2">
        <w:rPr>
          <w:lang w:val="en-GB"/>
        </w:rPr>
        <w:t xml:space="preserve">serve ATG UEs, </w:t>
      </w:r>
      <w:r w:rsidR="00213424">
        <w:rPr>
          <w:lang w:val="en-GB"/>
        </w:rPr>
        <w:t>at</w:t>
      </w:r>
      <w:r w:rsidR="007540D2">
        <w:rPr>
          <w:lang w:val="en-GB"/>
        </w:rPr>
        <w:t xml:space="preserve"> different elevation angles</w:t>
      </w:r>
      <w:r w:rsidR="00213424">
        <w:rPr>
          <w:lang w:val="en-GB"/>
        </w:rPr>
        <w:t xml:space="preserve">. In addition, </w:t>
      </w:r>
      <w:r w:rsidR="007540D2">
        <w:rPr>
          <w:lang w:val="en-GB"/>
        </w:rPr>
        <w:t xml:space="preserve">the cross-link interference between TN BS and ATG </w:t>
      </w:r>
      <w:r w:rsidR="00213424">
        <w:rPr>
          <w:lang w:val="en-GB"/>
        </w:rPr>
        <w:t>UE</w:t>
      </w:r>
      <w:r w:rsidR="007540D2">
        <w:rPr>
          <w:lang w:val="en-GB"/>
        </w:rPr>
        <w:t xml:space="preserve"> will also experience variation in the elevation </w:t>
      </w:r>
      <w:r w:rsidR="00505940">
        <w:rPr>
          <w:lang w:val="en-GB"/>
        </w:rPr>
        <w:t>angles</w:t>
      </w:r>
      <w:r w:rsidR="007540D2">
        <w:rPr>
          <w:lang w:val="en-GB"/>
        </w:rPr>
        <w:t xml:space="preserve">. </w:t>
      </w:r>
      <w:r w:rsidR="004C305B" w:rsidRPr="004C305B">
        <w:rPr>
          <w:lang w:val="en-GB"/>
        </w:rPr>
        <w:t xml:space="preserve">Since the sub-array topology will affect the radiating characteristics in the sidelobe region, </w:t>
      </w:r>
      <w:r w:rsidR="007B5631">
        <w:rPr>
          <w:lang w:val="en-GB"/>
        </w:rPr>
        <w:t xml:space="preserve">it is important to understand if the extended model behaves similar or different to the non-subarray model and what set of parameters should be considered. </w:t>
      </w:r>
    </w:p>
    <w:p w14:paraId="286FE485" w14:textId="79B4B675" w:rsidR="00EA5B9A" w:rsidRDefault="00EA5B9A" w:rsidP="00EA5B9A">
      <w:pPr>
        <w:rPr>
          <w:lang w:val="en-GB"/>
        </w:rPr>
      </w:pPr>
      <w:r>
        <w:rPr>
          <w:lang w:val="en-GB"/>
        </w:rPr>
        <w:t>To better understand the implications of the sub-array model, especially on the elevation variations between TN BS and ATG UE, we consider the following experiment. A</w:t>
      </w:r>
      <w:r w:rsidRPr="005C4A8B">
        <w:rPr>
          <w:lang w:val="en-GB"/>
        </w:rPr>
        <w:t xml:space="preserve"> single cell is investigated with </w:t>
      </w:r>
      <w:r>
        <w:rPr>
          <w:lang w:val="en-GB"/>
        </w:rPr>
        <w:t xml:space="preserve">TN </w:t>
      </w:r>
      <w:r w:rsidRPr="005C4A8B">
        <w:rPr>
          <w:lang w:val="en-GB"/>
        </w:rPr>
        <w:t>UEs dropped randomly within the coverage area</w:t>
      </w:r>
      <w:r>
        <w:rPr>
          <w:lang w:val="en-GB"/>
        </w:rPr>
        <w:t xml:space="preserve"> of a single sector (i.e., UEs are randomly deployed within coverage ranges in the azimuthal plane of [-60</w:t>
      </w:r>
      <w:r w:rsidR="0072244C">
        <w:rPr>
          <w:lang w:val="en-GB"/>
        </w:rPr>
        <w:t>°</w:t>
      </w:r>
      <w:r>
        <w:rPr>
          <w:lang w:val="en-GB"/>
        </w:rPr>
        <w:t>,60</w:t>
      </w:r>
      <w:r w:rsidR="0072244C">
        <w:rPr>
          <w:lang w:val="en-GB"/>
        </w:rPr>
        <w:t>°</w:t>
      </w:r>
      <w:r>
        <w:rPr>
          <w:lang w:val="en-GB"/>
        </w:rPr>
        <w:t>])</w:t>
      </w:r>
      <w:r w:rsidR="008B0A4B">
        <w:rPr>
          <w:lang w:val="en-GB"/>
        </w:rPr>
        <w:t>,</w:t>
      </w:r>
      <w:r w:rsidR="0072244C">
        <w:rPr>
          <w:lang w:val="en-GB"/>
        </w:rPr>
        <w:t xml:space="preserve"> which mimic a typical UMa sectorial deployment</w:t>
      </w:r>
      <w:r w:rsidR="008B0A4B">
        <w:rPr>
          <w:lang w:val="en-GB"/>
        </w:rPr>
        <w:t xml:space="preserve"> as shown in Figure 1</w:t>
      </w:r>
      <w:r>
        <w:rPr>
          <w:lang w:val="en-GB"/>
        </w:rPr>
        <w:t>. The emissions from the TN BS</w:t>
      </w:r>
      <w:r w:rsidRPr="005C4A8B">
        <w:rPr>
          <w:lang w:val="en-GB"/>
        </w:rPr>
        <w:t xml:space="preserve"> above </w:t>
      </w:r>
      <w:r>
        <w:rPr>
          <w:lang w:val="en-GB"/>
        </w:rPr>
        <w:t xml:space="preserve">the </w:t>
      </w:r>
      <w:r w:rsidRPr="005C4A8B">
        <w:rPr>
          <w:lang w:val="en-GB"/>
        </w:rPr>
        <w:t>horizon</w:t>
      </w:r>
      <w:r>
        <w:rPr>
          <w:lang w:val="en-GB"/>
        </w:rPr>
        <w:t xml:space="preserve">, resulting from the beamformed beam from the TN base station to UEs on the ground is captured for varying elevation angles </w:t>
      </w:r>
      <w:r w:rsidRPr="005C4A8B">
        <w:rPr>
          <w:lang w:val="en-GB"/>
        </w:rPr>
        <w:t>due to dynamic IMT base station beam steering to serve UEs is captured for elevation angles from 0° (horizon) to 8</w:t>
      </w:r>
      <w:r>
        <w:rPr>
          <w:lang w:val="en-GB"/>
        </w:rPr>
        <w:t>7</w:t>
      </w:r>
      <w:r w:rsidRPr="005C4A8B">
        <w:rPr>
          <w:lang w:val="en-GB"/>
        </w:rPr>
        <w:t xml:space="preserve">° above horizon (which is equivalent to 90° elevation at the antenna panel due to </w:t>
      </w:r>
      <w:r>
        <w:rPr>
          <w:lang w:val="en-GB"/>
        </w:rPr>
        <w:t>3</w:t>
      </w:r>
      <w:r w:rsidRPr="005C4A8B">
        <w:rPr>
          <w:lang w:val="en-GB"/>
        </w:rPr>
        <w:t>° mechanical down tilt)</w:t>
      </w:r>
      <w:r>
        <w:rPr>
          <w:lang w:val="en-GB"/>
        </w:rPr>
        <w:t>.</w:t>
      </w:r>
    </w:p>
    <w:p w14:paraId="679E7D22" w14:textId="77777777" w:rsidR="00EA5B9A" w:rsidRDefault="00EA5B9A" w:rsidP="00EA5B9A">
      <w:pPr>
        <w:keepNext/>
        <w:jc w:val="center"/>
      </w:pPr>
      <w:r>
        <w:rPr>
          <w:noProof/>
        </w:rPr>
        <w:drawing>
          <wp:inline distT="0" distB="0" distL="0" distR="0" wp14:anchorId="1E6A0835" wp14:editId="64C9AE98">
            <wp:extent cx="3707773" cy="2628900"/>
            <wp:effectExtent l="0" t="0" r="0" b="0"/>
            <wp:docPr id="1" name="Picture 1"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chart&#10;&#10;Description automatically generated"/>
                    <pic:cNvPicPr/>
                  </pic:nvPicPr>
                  <pic:blipFill>
                    <a:blip r:embed="rId8"/>
                    <a:stretch>
                      <a:fillRect/>
                    </a:stretch>
                  </pic:blipFill>
                  <pic:spPr>
                    <a:xfrm>
                      <a:off x="0" y="0"/>
                      <a:ext cx="3713350" cy="2632854"/>
                    </a:xfrm>
                    <a:prstGeom prst="rect">
                      <a:avLst/>
                    </a:prstGeom>
                  </pic:spPr>
                </pic:pic>
              </a:graphicData>
            </a:graphic>
          </wp:inline>
        </w:drawing>
      </w:r>
    </w:p>
    <w:p w14:paraId="463371BE" w14:textId="715B3E27" w:rsidR="00EA5B9A" w:rsidRDefault="00EA5B9A" w:rsidP="00EA5B9A">
      <w:pPr>
        <w:pStyle w:val="Caption"/>
        <w:jc w:val="center"/>
        <w:rPr>
          <w:lang w:val="en-GB"/>
        </w:rPr>
      </w:pPr>
      <w:r>
        <w:t xml:space="preserve">Figure </w:t>
      </w:r>
      <w:r w:rsidR="008B0A4B">
        <w:t>1</w:t>
      </w:r>
      <w:r>
        <w:t xml:space="preserve"> Single cell TN scenario to collect emissions above the horizon</w:t>
      </w:r>
    </w:p>
    <w:p w14:paraId="2BE54EE6" w14:textId="7E68C914" w:rsidR="00DF05C6" w:rsidRPr="00C021C5" w:rsidRDefault="00913B03" w:rsidP="00A51786">
      <w:pPr>
        <w:rPr>
          <w:lang w:val="en-GB"/>
        </w:rPr>
      </w:pPr>
      <w:r>
        <w:rPr>
          <w:lang w:val="en-GB"/>
        </w:rPr>
        <w:t xml:space="preserve">In this experiment, the different percentiles of </w:t>
      </w:r>
      <w:r w:rsidR="00EA5B9A">
        <w:rPr>
          <w:lang w:val="en-GB"/>
        </w:rPr>
        <w:t xml:space="preserve">EIRP emissions from the TN BS towards </w:t>
      </w:r>
      <w:r>
        <w:rPr>
          <w:lang w:val="en-GB"/>
        </w:rPr>
        <w:t xml:space="preserve">elevation </w:t>
      </w:r>
      <w:r w:rsidR="00EA5B9A">
        <w:rPr>
          <w:lang w:val="en-GB"/>
        </w:rPr>
        <w:t xml:space="preserve">angles above the horizon are </w:t>
      </w:r>
      <w:r w:rsidR="00A62B82">
        <w:rPr>
          <w:lang w:val="en-GB"/>
        </w:rPr>
        <w:t>recorded</w:t>
      </w:r>
      <w:r w:rsidR="00EA5B9A">
        <w:rPr>
          <w:lang w:val="en-GB"/>
        </w:rPr>
        <w:t xml:space="preserve"> for the non-subarray and sub-array models</w:t>
      </w:r>
      <w:r w:rsidR="00FD301A">
        <w:rPr>
          <w:lang w:val="en-GB"/>
        </w:rPr>
        <w:t xml:space="preserve"> </w:t>
      </w:r>
      <w:r w:rsidR="00EA5B9A">
        <w:rPr>
          <w:lang w:val="en-GB"/>
        </w:rPr>
        <w:t xml:space="preserve">based on the agreed parameters in [1]. It </w:t>
      </w:r>
      <w:r w:rsidR="00E37D29">
        <w:rPr>
          <w:lang w:val="en-GB"/>
        </w:rPr>
        <w:t>was observed</w:t>
      </w:r>
      <w:r w:rsidR="00EA5B9A">
        <w:rPr>
          <w:lang w:val="en-GB"/>
        </w:rPr>
        <w:t xml:space="preserve"> that for the subarray model</w:t>
      </w:r>
      <w:r w:rsidR="00FE3932">
        <w:rPr>
          <w:lang w:val="en-GB"/>
        </w:rPr>
        <w:t>, higher emissions might be experienced at some</w:t>
      </w:r>
      <w:r w:rsidR="00EA5B9A">
        <w:rPr>
          <w:lang w:val="en-GB"/>
        </w:rPr>
        <w:t xml:space="preserve"> specific elevation angles</w:t>
      </w:r>
      <w:r w:rsidR="002C5B32">
        <w:rPr>
          <w:lang w:val="en-GB"/>
        </w:rPr>
        <w:t>. The behaviour of the EIRP emissions outside the main beam direction depends</w:t>
      </w:r>
      <w:r w:rsidR="00EA5B9A">
        <w:rPr>
          <w:lang w:val="en-GB"/>
        </w:rPr>
        <w:t xml:space="preserve"> on the antenna parameters and </w:t>
      </w:r>
      <w:r w:rsidR="0022179D">
        <w:rPr>
          <w:lang w:val="en-GB"/>
        </w:rPr>
        <w:t>their</w:t>
      </w:r>
      <w:r w:rsidR="00753EBB">
        <w:rPr>
          <w:lang w:val="en-GB"/>
        </w:rPr>
        <w:t xml:space="preserve"> </w:t>
      </w:r>
      <w:r w:rsidR="00EA5B9A">
        <w:rPr>
          <w:lang w:val="en-GB"/>
        </w:rPr>
        <w:t xml:space="preserve">configurations. Accordingly, it is important than RAN4 further discuss the impact of the extended subarray </w:t>
      </w:r>
      <w:r w:rsidR="00FE3932">
        <w:rPr>
          <w:lang w:val="en-GB"/>
        </w:rPr>
        <w:t>and the antenna configuration</w:t>
      </w:r>
      <w:r w:rsidR="00D92B52">
        <w:rPr>
          <w:lang w:val="en-GB"/>
        </w:rPr>
        <w:t xml:space="preserve">s and parameters </w:t>
      </w:r>
      <w:r w:rsidR="00EB6370">
        <w:rPr>
          <w:lang w:val="en-GB"/>
        </w:rPr>
        <w:t xml:space="preserve">to accurately capture realistic </w:t>
      </w:r>
      <w:r w:rsidR="00DF05C6">
        <w:rPr>
          <w:lang w:val="en-GB"/>
        </w:rPr>
        <w:t xml:space="preserve">radiation patterns of TN BSs. </w:t>
      </w:r>
    </w:p>
    <w:p w14:paraId="7BAFB2C4" w14:textId="5E787DBE" w:rsidR="00EA5B9A" w:rsidRDefault="00676832" w:rsidP="00DF05C6">
      <w:pPr>
        <w:rPr>
          <w:b/>
          <w:bCs/>
          <w:lang w:val="en-GB"/>
        </w:rPr>
      </w:pPr>
      <w:r>
        <w:rPr>
          <w:b/>
          <w:bCs/>
          <w:u w:val="single"/>
          <w:lang w:val="en-GB"/>
        </w:rPr>
        <w:t xml:space="preserve">Proposal </w:t>
      </w:r>
      <w:r w:rsidR="001130A0">
        <w:rPr>
          <w:b/>
          <w:bCs/>
          <w:u w:val="single"/>
          <w:lang w:val="en-GB"/>
        </w:rPr>
        <w:t>1</w:t>
      </w:r>
      <w:r w:rsidR="00EA5B9A" w:rsidRPr="000D1339">
        <w:rPr>
          <w:b/>
          <w:bCs/>
          <w:u w:val="single"/>
          <w:lang w:val="en-GB"/>
        </w:rPr>
        <w:t>:</w:t>
      </w:r>
      <w:r w:rsidR="00EA5B9A" w:rsidRPr="000D1339">
        <w:rPr>
          <w:b/>
          <w:bCs/>
          <w:lang w:val="en-GB"/>
        </w:rPr>
        <w:t xml:space="preserve"> </w:t>
      </w:r>
      <w:r w:rsidR="00EA5B9A">
        <w:rPr>
          <w:b/>
          <w:bCs/>
          <w:lang w:val="en-GB"/>
        </w:rPr>
        <w:t>RAN4 to further discuss the impact of the extended subarray model at TN BS in terms of the considered parameters</w:t>
      </w:r>
      <w:r w:rsidR="00546ACB">
        <w:rPr>
          <w:b/>
          <w:bCs/>
          <w:lang w:val="en-GB"/>
        </w:rPr>
        <w:t xml:space="preserve">, </w:t>
      </w:r>
      <w:r w:rsidR="00EA5B9A">
        <w:rPr>
          <w:b/>
          <w:bCs/>
          <w:lang w:val="en-GB"/>
        </w:rPr>
        <w:t>emissions</w:t>
      </w:r>
      <w:r w:rsidR="00F14AA4">
        <w:rPr>
          <w:b/>
          <w:bCs/>
          <w:lang w:val="en-GB"/>
        </w:rPr>
        <w:t xml:space="preserve">, </w:t>
      </w:r>
      <w:r w:rsidR="00546ACB">
        <w:rPr>
          <w:b/>
          <w:bCs/>
          <w:lang w:val="en-GB"/>
        </w:rPr>
        <w:t>and antenna pattern</w:t>
      </w:r>
      <w:r w:rsidR="00EA5B9A">
        <w:rPr>
          <w:b/>
          <w:bCs/>
          <w:lang w:val="en-GB"/>
        </w:rPr>
        <w:t xml:space="preserve"> above the horizon.  </w:t>
      </w:r>
      <w:r w:rsidR="00EA5B9A" w:rsidRPr="000D1339">
        <w:rPr>
          <w:b/>
          <w:bCs/>
          <w:lang w:val="en-GB"/>
        </w:rPr>
        <w:t xml:space="preserve"> </w:t>
      </w:r>
    </w:p>
    <w:p w14:paraId="37E99539" w14:textId="65A564DA" w:rsidR="00753EBB" w:rsidRDefault="00C021C5" w:rsidP="00EA5B9A">
      <w:pPr>
        <w:rPr>
          <w:lang w:val="en-GB"/>
        </w:rPr>
      </w:pPr>
      <w:r>
        <w:rPr>
          <w:lang w:val="en-GB"/>
        </w:rPr>
        <w:t>Another aspect that should be discussed is the total number of elements between the sub-array and non-subarray parameters that were captured in [1]. It seems that the total number of elements for the non-subarray model is 8x8x2 (for dual polarized antennas), whereas it is 4x8x3x2 (for dual polarized antennas).</w:t>
      </w:r>
    </w:p>
    <w:p w14:paraId="151AF1B0" w14:textId="11CA1839" w:rsidR="00C021C5" w:rsidRPr="00CC09C5" w:rsidRDefault="00C021C5" w:rsidP="00EA5B9A">
      <w:pPr>
        <w:rPr>
          <w:b/>
          <w:bCs/>
          <w:lang w:val="en-GB"/>
        </w:rPr>
      </w:pPr>
      <w:r>
        <w:rPr>
          <w:b/>
          <w:bCs/>
          <w:u w:val="single"/>
          <w:lang w:val="en-GB"/>
        </w:rPr>
        <w:t>Observation</w:t>
      </w:r>
      <w:r w:rsidR="00DC36FD">
        <w:rPr>
          <w:b/>
          <w:bCs/>
          <w:u w:val="single"/>
          <w:lang w:val="en-GB"/>
        </w:rPr>
        <w:t xml:space="preserve"> </w:t>
      </w:r>
      <w:r w:rsidR="00676832">
        <w:rPr>
          <w:b/>
          <w:bCs/>
          <w:u w:val="single"/>
          <w:lang w:val="en-GB"/>
        </w:rPr>
        <w:t>1</w:t>
      </w:r>
      <w:r w:rsidRPr="000D1339">
        <w:rPr>
          <w:b/>
          <w:bCs/>
          <w:u w:val="single"/>
          <w:lang w:val="en-GB"/>
        </w:rPr>
        <w:t>:</w:t>
      </w:r>
      <w:r w:rsidRPr="000D1339">
        <w:rPr>
          <w:b/>
          <w:bCs/>
          <w:lang w:val="en-GB"/>
        </w:rPr>
        <w:t xml:space="preserve"> </w:t>
      </w:r>
      <w:r>
        <w:rPr>
          <w:b/>
          <w:bCs/>
          <w:lang w:val="en-GB"/>
        </w:rPr>
        <w:t>RAN4 to ensure that the total number of elements for the non-subarray and subarray model</w:t>
      </w:r>
      <w:r w:rsidR="001942BB">
        <w:rPr>
          <w:b/>
          <w:bCs/>
          <w:lang w:val="en-GB"/>
        </w:rPr>
        <w:t>s are the same</w:t>
      </w:r>
      <w:r>
        <w:rPr>
          <w:b/>
          <w:bCs/>
          <w:lang w:val="en-GB"/>
        </w:rPr>
        <w:t xml:space="preserve">.  </w:t>
      </w:r>
      <w:r w:rsidRPr="000D1339">
        <w:rPr>
          <w:b/>
          <w:bCs/>
          <w:lang w:val="en-GB"/>
        </w:rPr>
        <w:t xml:space="preserve"> </w:t>
      </w:r>
    </w:p>
    <w:p w14:paraId="2CB35A33" w14:textId="77777777" w:rsidR="00EA5B9A" w:rsidRDefault="00EA5B9A" w:rsidP="00EA5B9A">
      <w:pPr>
        <w:pStyle w:val="Heading2"/>
      </w:pPr>
      <w:r w:rsidRPr="00A40ED9">
        <w:t>Performance metrics for co-existence</w:t>
      </w:r>
    </w:p>
    <w:p w14:paraId="779819E3" w14:textId="6CAB36BA" w:rsidR="00EA5B9A" w:rsidRDefault="00EA5B9A" w:rsidP="00EA5B9A">
      <w:pPr>
        <w:rPr>
          <w:lang w:val="en-GB"/>
        </w:rPr>
      </w:pPr>
      <w:r>
        <w:rPr>
          <w:lang w:val="en-GB"/>
        </w:rPr>
        <w:t xml:space="preserve">Two performance metrics for co-existence were agreed during RAN4#105, namely, </w:t>
      </w:r>
      <w:r w:rsidR="00CC09C5">
        <w:rPr>
          <w:lang w:val="en-GB"/>
        </w:rPr>
        <w:t>average,</w:t>
      </w:r>
      <w:r>
        <w:rPr>
          <w:lang w:val="en-GB"/>
        </w:rPr>
        <w:t xml:space="preserve"> and worst-case throughput loss. The latter definition, which is captured in [1], is as follows: </w:t>
      </w:r>
    </w:p>
    <w:tbl>
      <w:tblPr>
        <w:tblStyle w:val="TableGrid"/>
        <w:tblW w:w="0" w:type="auto"/>
        <w:tblLook w:val="04A0" w:firstRow="1" w:lastRow="0" w:firstColumn="1" w:lastColumn="0" w:noHBand="0" w:noVBand="1"/>
      </w:tblPr>
      <w:tblGrid>
        <w:gridCol w:w="9962"/>
      </w:tblGrid>
      <w:tr w:rsidR="00EA5B9A" w14:paraId="49A5D5A1" w14:textId="77777777" w:rsidTr="00A51786">
        <w:tc>
          <w:tcPr>
            <w:tcW w:w="9962" w:type="dxa"/>
          </w:tcPr>
          <w:p w14:paraId="2125FE9F" w14:textId="77777777" w:rsidR="00EA5B9A" w:rsidRDefault="00EA5B9A" w:rsidP="00A51786">
            <w:pPr>
              <w:rPr>
                <w:lang w:val="en-GB"/>
              </w:rPr>
            </w:pPr>
            <w:r w:rsidRPr="00BB0A0C">
              <w:rPr>
                <w:lang w:val="en-GB"/>
              </w:rPr>
              <w:t>Worst cell throughput loss: Here the throughput statistics are collected for each of 57 cells (corresponding to 19 sites) of the TN deployment. Then the cell with the highest throughput loss is selected for presentation. This metric has been added to complement the preliminary analysis making the system robust and capable of handling all worst-case scenarios.</w:t>
            </w:r>
          </w:p>
        </w:tc>
      </w:tr>
    </w:tbl>
    <w:p w14:paraId="4F77B139" w14:textId="77777777" w:rsidR="00CC09C5" w:rsidRDefault="00CC09C5" w:rsidP="00EA5B9A">
      <w:pPr>
        <w:rPr>
          <w:lang w:val="en-GB"/>
        </w:rPr>
      </w:pPr>
    </w:p>
    <w:p w14:paraId="7A016058" w14:textId="68819D2D" w:rsidR="00EA5B9A" w:rsidRDefault="00EA5B9A" w:rsidP="00EA5B9A">
      <w:pPr>
        <w:rPr>
          <w:lang w:val="en-GB"/>
        </w:rPr>
      </w:pPr>
      <w:r w:rsidRPr="00BB0A0C">
        <w:rPr>
          <w:lang w:val="en-GB"/>
        </w:rPr>
        <w:t>This metric has been added to complement the preliminary analysis making the system robust and capable of handling all worst-case scenarios.</w:t>
      </w:r>
      <w:r>
        <w:rPr>
          <w:lang w:val="en-GB"/>
        </w:rPr>
        <w:t xml:space="preserve"> </w:t>
      </w:r>
      <w:proofErr w:type="gramStart"/>
      <w:r>
        <w:rPr>
          <w:lang w:val="en-GB"/>
        </w:rPr>
        <w:t>In order for</w:t>
      </w:r>
      <w:proofErr w:type="gramEnd"/>
      <w:r>
        <w:rPr>
          <w:lang w:val="en-GB"/>
        </w:rPr>
        <w:t xml:space="preserve"> this metric to present meaningful results, it should be agreed that the location of the BSs within a cluster is fixed. In case RAN4 agrees on multiple cluster deployment, it is not meaningful since the spatial randomization would enforce us to revert to the legacy average and 5% throughput loss performance. </w:t>
      </w:r>
    </w:p>
    <w:p w14:paraId="456BFC94" w14:textId="4F7CDAEB" w:rsidR="00EA5B9A" w:rsidRPr="001942BB" w:rsidRDefault="00676832" w:rsidP="00EA5B9A">
      <w:pPr>
        <w:rPr>
          <w:b/>
          <w:bCs/>
          <w:lang w:val="en-GB"/>
        </w:rPr>
      </w:pPr>
      <w:r>
        <w:rPr>
          <w:b/>
          <w:bCs/>
          <w:u w:val="single"/>
          <w:lang w:val="en-GB"/>
        </w:rPr>
        <w:t>Proposal 2</w:t>
      </w:r>
      <w:r w:rsidR="00EA5B9A" w:rsidRPr="000D1339">
        <w:rPr>
          <w:b/>
          <w:bCs/>
          <w:u w:val="single"/>
          <w:lang w:val="en-GB"/>
        </w:rPr>
        <w:t>:</w:t>
      </w:r>
      <w:r w:rsidR="00EA5B9A" w:rsidRPr="000D1339">
        <w:rPr>
          <w:b/>
          <w:bCs/>
          <w:lang w:val="en-GB"/>
        </w:rPr>
        <w:t xml:space="preserve"> </w:t>
      </w:r>
      <w:r w:rsidR="00EA5B9A">
        <w:rPr>
          <w:b/>
          <w:bCs/>
          <w:lang w:val="en-GB"/>
        </w:rPr>
        <w:t xml:space="preserve">RAN4 to further discuss the </w:t>
      </w:r>
      <w:r w:rsidR="008B5E2B">
        <w:rPr>
          <w:b/>
          <w:bCs/>
          <w:lang w:val="en-GB"/>
        </w:rPr>
        <w:t>w</w:t>
      </w:r>
      <w:r w:rsidR="00EA5B9A" w:rsidRPr="0023265F">
        <w:rPr>
          <w:b/>
          <w:bCs/>
          <w:lang w:val="en-GB"/>
        </w:rPr>
        <w:t>orst cell throughput loss</w:t>
      </w:r>
      <w:r w:rsidR="00EA5B9A">
        <w:rPr>
          <w:b/>
          <w:bCs/>
          <w:lang w:val="en-GB"/>
        </w:rPr>
        <w:t xml:space="preserve"> as it is only valid if the locations of the BSs over the simulation realizations is fixed. </w:t>
      </w:r>
    </w:p>
    <w:p w14:paraId="5AC581B2" w14:textId="77777777" w:rsidR="00EA5B9A" w:rsidRDefault="00EA5B9A" w:rsidP="00EA5B9A">
      <w:pPr>
        <w:pStyle w:val="Heading1"/>
      </w:pPr>
      <w:r>
        <w:t>Conclusion</w:t>
      </w:r>
    </w:p>
    <w:p w14:paraId="660D71E3" w14:textId="77777777" w:rsidR="00EA5B9A" w:rsidRPr="00C0490E" w:rsidRDefault="00EA5B9A" w:rsidP="00EA5B9A">
      <w:pPr>
        <w:rPr>
          <w:lang w:val="en-GB"/>
        </w:rPr>
      </w:pPr>
      <w:r>
        <w:rPr>
          <w:lang w:val="en-GB"/>
        </w:rPr>
        <w:t>In this contribution we have shared our views on open items regarding the ATG coexistence simulation work. Our proposals and observations are summarized as follows:</w:t>
      </w:r>
    </w:p>
    <w:p w14:paraId="265BE0F3" w14:textId="6327E817" w:rsidR="00A113BE" w:rsidRDefault="00A113BE" w:rsidP="00A113BE">
      <w:pPr>
        <w:rPr>
          <w:b/>
          <w:bCs/>
          <w:lang w:val="en-GB"/>
        </w:rPr>
      </w:pPr>
      <w:r>
        <w:rPr>
          <w:b/>
          <w:bCs/>
          <w:u w:val="single"/>
          <w:lang w:val="en-GB"/>
        </w:rPr>
        <w:t>Proposal 1</w:t>
      </w:r>
      <w:r w:rsidRPr="000D1339">
        <w:rPr>
          <w:b/>
          <w:bCs/>
          <w:u w:val="single"/>
          <w:lang w:val="en-GB"/>
        </w:rPr>
        <w:t>:</w:t>
      </w:r>
      <w:r w:rsidRPr="000D1339">
        <w:rPr>
          <w:b/>
          <w:bCs/>
          <w:lang w:val="en-GB"/>
        </w:rPr>
        <w:t xml:space="preserve"> </w:t>
      </w:r>
      <w:r>
        <w:rPr>
          <w:b/>
          <w:bCs/>
          <w:lang w:val="en-GB"/>
        </w:rPr>
        <w:t xml:space="preserve">RAN4 to further discuss the impact </w:t>
      </w:r>
      <w:r w:rsidR="0097040D">
        <w:rPr>
          <w:b/>
          <w:bCs/>
          <w:lang w:val="en-GB"/>
        </w:rPr>
        <w:t>o</w:t>
      </w:r>
      <w:r>
        <w:rPr>
          <w:b/>
          <w:bCs/>
          <w:lang w:val="en-GB"/>
        </w:rPr>
        <w:t xml:space="preserve">f the extended subarray model at TN BS in terms of the considered parameters, </w:t>
      </w:r>
      <w:r w:rsidR="00F14AA4">
        <w:rPr>
          <w:b/>
          <w:bCs/>
          <w:lang w:val="en-GB"/>
        </w:rPr>
        <w:t>emissions,</w:t>
      </w:r>
      <w:r>
        <w:rPr>
          <w:b/>
          <w:bCs/>
          <w:lang w:val="en-GB"/>
        </w:rPr>
        <w:t xml:space="preserve"> and antenna pattern above the horizon.  </w:t>
      </w:r>
      <w:r w:rsidRPr="000D1339">
        <w:rPr>
          <w:b/>
          <w:bCs/>
          <w:lang w:val="en-GB"/>
        </w:rPr>
        <w:t xml:space="preserve"> </w:t>
      </w:r>
    </w:p>
    <w:p w14:paraId="7FAC2DCB" w14:textId="4F85A498" w:rsidR="001942BB" w:rsidRPr="00C0490E" w:rsidRDefault="001942BB" w:rsidP="00EA5B9A">
      <w:pPr>
        <w:rPr>
          <w:b/>
          <w:bCs/>
          <w:lang w:val="en-GB"/>
        </w:rPr>
      </w:pPr>
      <w:r>
        <w:rPr>
          <w:b/>
          <w:bCs/>
          <w:u w:val="single"/>
          <w:lang w:val="en-GB"/>
        </w:rPr>
        <w:t>Observation</w:t>
      </w:r>
      <w:r w:rsidR="00676832">
        <w:rPr>
          <w:b/>
          <w:bCs/>
          <w:u w:val="single"/>
          <w:lang w:val="en-GB"/>
        </w:rPr>
        <w:t xml:space="preserve"> 1</w:t>
      </w:r>
      <w:r w:rsidRPr="000D1339">
        <w:rPr>
          <w:b/>
          <w:bCs/>
          <w:u w:val="single"/>
          <w:lang w:val="en-GB"/>
        </w:rPr>
        <w:t>:</w:t>
      </w:r>
      <w:r w:rsidRPr="000D1339">
        <w:rPr>
          <w:b/>
          <w:bCs/>
          <w:lang w:val="en-GB"/>
        </w:rPr>
        <w:t xml:space="preserve"> </w:t>
      </w:r>
      <w:r>
        <w:rPr>
          <w:b/>
          <w:bCs/>
          <w:lang w:val="en-GB"/>
        </w:rPr>
        <w:t xml:space="preserve">RAN4 to ensure that the total number of elements for the non-subarray and subarray models are the same.  </w:t>
      </w:r>
      <w:r w:rsidRPr="000D1339">
        <w:rPr>
          <w:b/>
          <w:bCs/>
          <w:lang w:val="en-GB"/>
        </w:rPr>
        <w:t xml:space="preserve"> </w:t>
      </w:r>
    </w:p>
    <w:p w14:paraId="64F089BC" w14:textId="0A0CD64B" w:rsidR="00EA5B9A" w:rsidRPr="009502CD" w:rsidRDefault="00676832" w:rsidP="00EA5B9A">
      <w:pPr>
        <w:rPr>
          <w:b/>
          <w:bCs/>
          <w:lang w:val="en-GB"/>
        </w:rPr>
      </w:pPr>
      <w:r>
        <w:rPr>
          <w:b/>
          <w:bCs/>
          <w:u w:val="single"/>
          <w:lang w:val="en-GB"/>
        </w:rPr>
        <w:t>Proposal 2</w:t>
      </w:r>
      <w:r w:rsidR="00EA5B9A" w:rsidRPr="000D1339">
        <w:rPr>
          <w:b/>
          <w:bCs/>
          <w:u w:val="single"/>
          <w:lang w:val="en-GB"/>
        </w:rPr>
        <w:t>:</w:t>
      </w:r>
      <w:r w:rsidR="00EA5B9A" w:rsidRPr="000D1339">
        <w:rPr>
          <w:b/>
          <w:bCs/>
          <w:lang w:val="en-GB"/>
        </w:rPr>
        <w:t xml:space="preserve"> </w:t>
      </w:r>
      <w:r w:rsidR="00EA5B9A">
        <w:rPr>
          <w:b/>
          <w:bCs/>
          <w:lang w:val="en-GB"/>
        </w:rPr>
        <w:t xml:space="preserve">RAN4 to further discuss the </w:t>
      </w:r>
      <w:r w:rsidR="00EA5B9A" w:rsidRPr="0023265F">
        <w:rPr>
          <w:b/>
          <w:bCs/>
          <w:lang w:val="en-GB"/>
        </w:rPr>
        <w:t>Worst cell throughput loss</w:t>
      </w:r>
      <w:r w:rsidR="00EA5B9A">
        <w:rPr>
          <w:b/>
          <w:bCs/>
          <w:lang w:val="en-GB"/>
        </w:rPr>
        <w:t xml:space="preserve"> as it is only valid if the locations of the BSs over the simulation realizations is fixed. </w:t>
      </w:r>
    </w:p>
    <w:p w14:paraId="7AE0DDF1" w14:textId="77777777" w:rsidR="00EA5B9A" w:rsidRPr="00674B75" w:rsidRDefault="00EA5B9A" w:rsidP="00EA5B9A">
      <w:pPr>
        <w:pStyle w:val="Heading1"/>
        <w:jc w:val="both"/>
        <w:rPr>
          <w:lang w:eastAsia="zh-CN"/>
        </w:rPr>
      </w:pPr>
      <w:r>
        <w:rPr>
          <w:lang w:eastAsia="zh-CN"/>
        </w:rPr>
        <w:t>R</w:t>
      </w:r>
      <w:r w:rsidRPr="00674B75">
        <w:rPr>
          <w:lang w:eastAsia="zh-CN"/>
        </w:rPr>
        <w:t>eferences</w:t>
      </w:r>
      <w:bookmarkStart w:id="9" w:name="_Ref457730460"/>
      <w:bookmarkStart w:id="10" w:name="_Ref450735844"/>
      <w:bookmarkStart w:id="11" w:name="_Ref450342757"/>
    </w:p>
    <w:bookmarkEnd w:id="9"/>
    <w:bookmarkEnd w:id="10"/>
    <w:bookmarkEnd w:id="11"/>
    <w:p w14:paraId="1FAF4EEE" w14:textId="77777777" w:rsidR="00EA5B9A" w:rsidRPr="0020020F" w:rsidRDefault="00EA5B9A" w:rsidP="00EA5B9A">
      <w:pPr>
        <w:pStyle w:val="References"/>
        <w:numPr>
          <w:ilvl w:val="0"/>
          <w:numId w:val="1"/>
        </w:numPr>
        <w:autoSpaceDE/>
        <w:autoSpaceDN/>
        <w:snapToGrid/>
        <w:spacing w:after="80" w:line="256" w:lineRule="auto"/>
      </w:pPr>
      <w:r w:rsidRPr="002B20E7">
        <w:rPr>
          <w:szCs w:val="20"/>
          <w:lang w:val="en-GB"/>
        </w:rPr>
        <w:t>R4-2220542</w:t>
      </w:r>
      <w:r>
        <w:rPr>
          <w:szCs w:val="20"/>
          <w:lang w:val="en-GB"/>
        </w:rPr>
        <w:t>, “</w:t>
      </w:r>
      <w:r w:rsidRPr="002B20E7">
        <w:rPr>
          <w:szCs w:val="20"/>
          <w:lang w:val="en-GB"/>
        </w:rPr>
        <w:t>WF on ATG co-existence evaluation</w:t>
      </w:r>
      <w:r>
        <w:rPr>
          <w:szCs w:val="20"/>
          <w:lang w:val="en-GB"/>
        </w:rPr>
        <w:t>”, CMCC, RAN4#105.</w:t>
      </w:r>
    </w:p>
    <w:p w14:paraId="0F6ECEC9" w14:textId="6F471520" w:rsidR="00EA5B9A" w:rsidRDefault="005210B5" w:rsidP="00EA5B9A">
      <w:pPr>
        <w:pStyle w:val="References"/>
        <w:numPr>
          <w:ilvl w:val="0"/>
          <w:numId w:val="1"/>
        </w:numPr>
        <w:autoSpaceDE/>
        <w:autoSpaceDN/>
        <w:snapToGrid/>
        <w:spacing w:after="80" w:line="256" w:lineRule="auto"/>
      </w:pPr>
      <w:r w:rsidRPr="005210B5">
        <w:t>R4-2108080</w:t>
      </w:r>
      <w:r w:rsidR="00EA5B9A">
        <w:t>, “</w:t>
      </w:r>
      <w:r w:rsidR="00BC12E0" w:rsidRPr="00BC12E0">
        <w:t>LS to ITU-R and CEPT on extension of IMT array antenna model to support sub-array structures</w:t>
      </w:r>
      <w:r w:rsidR="00EA5B9A">
        <w:t xml:space="preserve">”, </w:t>
      </w:r>
      <w:r w:rsidR="00E41420">
        <w:t>RAN4#9</w:t>
      </w:r>
      <w:r w:rsidR="00791E2A">
        <w:t>9</w:t>
      </w:r>
      <w:r w:rsidR="00C11BEF">
        <w:t>-e</w:t>
      </w:r>
      <w:r w:rsidR="00EA5B9A">
        <w:t>.</w:t>
      </w:r>
    </w:p>
    <w:p w14:paraId="3A62F9C5" w14:textId="77777777" w:rsidR="00A51786" w:rsidRPr="00CF2404" w:rsidRDefault="00A51786" w:rsidP="00CF2404"/>
    <w:sectPr w:rsidR="00A51786" w:rsidRPr="00CF2404" w:rsidSect="00883095">
      <w:headerReference w:type="even" r:id="rId9"/>
      <w:footerReference w:type="even" r:id="rId10"/>
      <w:footerReference w:type="default" r:id="rId11"/>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8AB18" w14:textId="77777777" w:rsidR="00DD7377" w:rsidRDefault="00DD7377">
      <w:pPr>
        <w:spacing w:after="0"/>
      </w:pPr>
      <w:r>
        <w:separator/>
      </w:r>
    </w:p>
  </w:endnote>
  <w:endnote w:type="continuationSeparator" w:id="0">
    <w:p w14:paraId="187AA1F6" w14:textId="77777777" w:rsidR="00DD7377" w:rsidRDefault="00DD7377">
      <w:pPr>
        <w:spacing w:after="0"/>
      </w:pPr>
      <w:r>
        <w:continuationSeparator/>
      </w:r>
    </w:p>
  </w:endnote>
  <w:endnote w:type="continuationNotice" w:id="1">
    <w:p w14:paraId="3BCD19F0" w14:textId="77777777" w:rsidR="009737DE" w:rsidRDefault="009737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Yu Mincho">
    <w:altName w:val="Yu Gothic"/>
    <w:panose1 w:val="00000000000000000000"/>
    <w:charset w:val="80"/>
    <w:family w:val="roman"/>
    <w:notTrueType/>
    <w:pitch w:val="default"/>
  </w:font>
  <w:font w:name="MS Mincho">
    <w:altName w:val="Yu Gothic"/>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F862C" w14:textId="77777777" w:rsidR="00A51786" w:rsidRDefault="008B5E2B" w:rsidP="00A517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79B20F2" w14:textId="77777777" w:rsidR="00A51786" w:rsidRDefault="00A51786" w:rsidP="00A517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C84E6" w14:textId="77777777" w:rsidR="00A51786" w:rsidRDefault="008B5E2B" w:rsidP="00A51786">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C5A16" w14:textId="77777777" w:rsidR="00DD7377" w:rsidRDefault="00DD7377">
      <w:pPr>
        <w:spacing w:after="0"/>
      </w:pPr>
      <w:r>
        <w:separator/>
      </w:r>
    </w:p>
  </w:footnote>
  <w:footnote w:type="continuationSeparator" w:id="0">
    <w:p w14:paraId="303AC581" w14:textId="77777777" w:rsidR="00DD7377" w:rsidRDefault="00DD7377">
      <w:pPr>
        <w:spacing w:after="0"/>
      </w:pPr>
      <w:r>
        <w:continuationSeparator/>
      </w:r>
    </w:p>
  </w:footnote>
  <w:footnote w:type="continuationNotice" w:id="1">
    <w:p w14:paraId="778A61D9" w14:textId="77777777" w:rsidR="009737DE" w:rsidRDefault="009737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5D570" w14:textId="77777777" w:rsidR="00A51786" w:rsidRDefault="008B5E2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num w:numId="1" w16cid:durableId="252904895">
    <w:abstractNumId w:val="0"/>
  </w:num>
  <w:num w:numId="2" w16cid:durableId="380252902">
    <w:abstractNumId w:val="1"/>
  </w:num>
  <w:num w:numId="3" w16cid:durableId="16818547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095"/>
    <w:rsid w:val="000B4506"/>
    <w:rsid w:val="000E0447"/>
    <w:rsid w:val="001013D4"/>
    <w:rsid w:val="001130A0"/>
    <w:rsid w:val="001856DE"/>
    <w:rsid w:val="001942BB"/>
    <w:rsid w:val="00213424"/>
    <w:rsid w:val="0022179D"/>
    <w:rsid w:val="00241EC9"/>
    <w:rsid w:val="00261917"/>
    <w:rsid w:val="002624E9"/>
    <w:rsid w:val="002A1142"/>
    <w:rsid w:val="002C5B32"/>
    <w:rsid w:val="002D0913"/>
    <w:rsid w:val="003F213D"/>
    <w:rsid w:val="003F6CFA"/>
    <w:rsid w:val="004C305B"/>
    <w:rsid w:val="004E0BE9"/>
    <w:rsid w:val="00505940"/>
    <w:rsid w:val="005210B5"/>
    <w:rsid w:val="0053367F"/>
    <w:rsid w:val="005365E6"/>
    <w:rsid w:val="005446E5"/>
    <w:rsid w:val="00546ACB"/>
    <w:rsid w:val="0063629E"/>
    <w:rsid w:val="00676832"/>
    <w:rsid w:val="006A3911"/>
    <w:rsid w:val="006F0558"/>
    <w:rsid w:val="0072244C"/>
    <w:rsid w:val="00753EBB"/>
    <w:rsid w:val="007540D2"/>
    <w:rsid w:val="00791E2A"/>
    <w:rsid w:val="007B5631"/>
    <w:rsid w:val="00823BD0"/>
    <w:rsid w:val="0086296E"/>
    <w:rsid w:val="00874C46"/>
    <w:rsid w:val="00883095"/>
    <w:rsid w:val="008B0A4B"/>
    <w:rsid w:val="008B5E2B"/>
    <w:rsid w:val="008E15E4"/>
    <w:rsid w:val="008E2349"/>
    <w:rsid w:val="00913B03"/>
    <w:rsid w:val="0094784C"/>
    <w:rsid w:val="00963CB7"/>
    <w:rsid w:val="0097040D"/>
    <w:rsid w:val="009737DE"/>
    <w:rsid w:val="009C0A5B"/>
    <w:rsid w:val="00A113BE"/>
    <w:rsid w:val="00A51786"/>
    <w:rsid w:val="00A62B82"/>
    <w:rsid w:val="00A67BB7"/>
    <w:rsid w:val="00A96E4D"/>
    <w:rsid w:val="00AA3AF1"/>
    <w:rsid w:val="00AF017B"/>
    <w:rsid w:val="00BC12E0"/>
    <w:rsid w:val="00C021C5"/>
    <w:rsid w:val="00C039D9"/>
    <w:rsid w:val="00C11BEF"/>
    <w:rsid w:val="00C23B95"/>
    <w:rsid w:val="00C37F01"/>
    <w:rsid w:val="00CC09C5"/>
    <w:rsid w:val="00CF2404"/>
    <w:rsid w:val="00D3688D"/>
    <w:rsid w:val="00D62477"/>
    <w:rsid w:val="00D77A75"/>
    <w:rsid w:val="00D80B19"/>
    <w:rsid w:val="00D92B52"/>
    <w:rsid w:val="00DC36FD"/>
    <w:rsid w:val="00DD7377"/>
    <w:rsid w:val="00DF05C6"/>
    <w:rsid w:val="00E36FB6"/>
    <w:rsid w:val="00E37D29"/>
    <w:rsid w:val="00E41420"/>
    <w:rsid w:val="00E53C25"/>
    <w:rsid w:val="00EA5B9A"/>
    <w:rsid w:val="00EB6370"/>
    <w:rsid w:val="00EC77B7"/>
    <w:rsid w:val="00EF3CA2"/>
    <w:rsid w:val="00F10324"/>
    <w:rsid w:val="00F14AA4"/>
    <w:rsid w:val="00F15747"/>
    <w:rsid w:val="00F346EC"/>
    <w:rsid w:val="00FD301A"/>
    <w:rsid w:val="00FE3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9D72A"/>
  <w15:chartTrackingRefBased/>
  <w15:docId w15:val="{7A8A2D84-1848-4AF4-B013-92A64B0CA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09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next w:val="Normal"/>
    <w:link w:val="Heading1Char1"/>
    <w:qFormat/>
    <w:rsid w:val="00883095"/>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basedOn w:val="Heading1"/>
    <w:next w:val="Normal"/>
    <w:link w:val="Heading2Char"/>
    <w:qFormat/>
    <w:rsid w:val="00883095"/>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883095"/>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883095"/>
    <w:pPr>
      <w:numPr>
        <w:ilvl w:val="3"/>
      </w:numPr>
      <w:tabs>
        <w:tab w:val="num" w:pos="360"/>
      </w:tabs>
      <w:outlineLvl w:val="3"/>
    </w:pPr>
    <w:rPr>
      <w:sz w:val="24"/>
    </w:rPr>
  </w:style>
  <w:style w:type="paragraph" w:styleId="Heading5">
    <w:name w:val="heading 5"/>
    <w:basedOn w:val="Heading4"/>
    <w:next w:val="Normal"/>
    <w:link w:val="Heading5Char"/>
    <w:qFormat/>
    <w:rsid w:val="00883095"/>
    <w:pPr>
      <w:numPr>
        <w:ilvl w:val="4"/>
      </w:numPr>
      <w:tabs>
        <w:tab w:val="num" w:pos="360"/>
      </w:tabs>
      <w:outlineLvl w:val="4"/>
    </w:pPr>
    <w:rPr>
      <w:sz w:val="22"/>
    </w:rPr>
  </w:style>
  <w:style w:type="paragraph" w:styleId="Heading6">
    <w:name w:val="heading 6"/>
    <w:basedOn w:val="Normal"/>
    <w:next w:val="Normal"/>
    <w:link w:val="Heading6Char"/>
    <w:qFormat/>
    <w:rsid w:val="00883095"/>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883095"/>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883095"/>
    <w:pPr>
      <w:numPr>
        <w:ilvl w:val="7"/>
      </w:numPr>
      <w:tabs>
        <w:tab w:val="num" w:pos="360"/>
      </w:tabs>
      <w:outlineLvl w:val="7"/>
    </w:pPr>
  </w:style>
  <w:style w:type="paragraph" w:styleId="Heading9">
    <w:name w:val="heading 9"/>
    <w:basedOn w:val="Heading8"/>
    <w:next w:val="Normal"/>
    <w:link w:val="Heading9Char"/>
    <w:qFormat/>
    <w:rsid w:val="00883095"/>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88309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883095"/>
    <w:rPr>
      <w:rFonts w:ascii="Arial" w:eastAsia="SimSun" w:hAnsi="Arial" w:cs="Times New Roman"/>
      <w:sz w:val="32"/>
      <w:szCs w:val="20"/>
      <w:lang w:val="en-GB"/>
    </w:rPr>
  </w:style>
  <w:style w:type="character" w:customStyle="1" w:styleId="Heading3Char">
    <w:name w:val="Heading 3 Char"/>
    <w:basedOn w:val="DefaultParagraphFont"/>
    <w:link w:val="Heading3"/>
    <w:rsid w:val="00883095"/>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883095"/>
    <w:rPr>
      <w:rFonts w:ascii="Arial" w:eastAsia="SimSun" w:hAnsi="Arial" w:cs="Times New Roman"/>
      <w:sz w:val="24"/>
      <w:szCs w:val="20"/>
      <w:lang w:val="en-GB"/>
    </w:rPr>
  </w:style>
  <w:style w:type="character" w:customStyle="1" w:styleId="Heading5Char">
    <w:name w:val="Heading 5 Char"/>
    <w:basedOn w:val="DefaultParagraphFont"/>
    <w:link w:val="Heading5"/>
    <w:rsid w:val="00883095"/>
    <w:rPr>
      <w:rFonts w:ascii="Arial" w:eastAsia="SimSun" w:hAnsi="Arial" w:cs="Times New Roman"/>
      <w:szCs w:val="20"/>
      <w:lang w:val="en-GB"/>
    </w:rPr>
  </w:style>
  <w:style w:type="character" w:customStyle="1" w:styleId="Heading6Char">
    <w:name w:val="Heading 6 Char"/>
    <w:basedOn w:val="DefaultParagraphFont"/>
    <w:link w:val="Heading6"/>
    <w:rsid w:val="00883095"/>
    <w:rPr>
      <w:rFonts w:ascii="Arial" w:eastAsia="SimSun" w:hAnsi="Arial" w:cs="Times New Roman"/>
      <w:sz w:val="20"/>
      <w:szCs w:val="20"/>
      <w:lang w:val="en-GB"/>
    </w:rPr>
  </w:style>
  <w:style w:type="character" w:customStyle="1" w:styleId="Heading7Char">
    <w:name w:val="Heading 7 Char"/>
    <w:basedOn w:val="DefaultParagraphFont"/>
    <w:link w:val="Heading7"/>
    <w:rsid w:val="00883095"/>
    <w:rPr>
      <w:rFonts w:ascii="Arial" w:eastAsia="SimSun" w:hAnsi="Arial" w:cs="Times New Roman"/>
      <w:sz w:val="20"/>
      <w:szCs w:val="20"/>
      <w:lang w:val="en-GB"/>
    </w:rPr>
  </w:style>
  <w:style w:type="character" w:customStyle="1" w:styleId="Heading8Char">
    <w:name w:val="Heading 8 Char"/>
    <w:basedOn w:val="DefaultParagraphFont"/>
    <w:link w:val="Heading8"/>
    <w:rsid w:val="00883095"/>
    <w:rPr>
      <w:rFonts w:ascii="Arial" w:eastAsia="SimSun" w:hAnsi="Arial" w:cs="Times New Roman"/>
      <w:sz w:val="36"/>
      <w:szCs w:val="20"/>
      <w:lang w:val="en-GB"/>
    </w:rPr>
  </w:style>
  <w:style w:type="character" w:customStyle="1" w:styleId="Heading9Char">
    <w:name w:val="Heading 9 Char"/>
    <w:basedOn w:val="DefaultParagraphFont"/>
    <w:link w:val="Heading9"/>
    <w:rsid w:val="00883095"/>
    <w:rPr>
      <w:rFonts w:ascii="Arial" w:eastAsia="SimSun" w:hAnsi="Arial" w:cs="Times New Roman"/>
      <w:sz w:val="36"/>
      <w:szCs w:val="20"/>
      <w:lang w:val="en-GB"/>
    </w:rPr>
  </w:style>
  <w:style w:type="paragraph" w:customStyle="1" w:styleId="TAH">
    <w:name w:val="TAH"/>
    <w:basedOn w:val="TAC"/>
    <w:link w:val="TAHCar"/>
    <w:qFormat/>
    <w:rsid w:val="00883095"/>
  </w:style>
  <w:style w:type="paragraph" w:customStyle="1" w:styleId="TAC">
    <w:name w:val="TAC"/>
    <w:basedOn w:val="Normal"/>
    <w:link w:val="TACChar"/>
    <w:qFormat/>
    <w:rsid w:val="00883095"/>
    <w:pPr>
      <w:keepNext/>
      <w:keepLines/>
      <w:spacing w:after="0"/>
      <w:jc w:val="center"/>
    </w:pPr>
    <w:rPr>
      <w:rFonts w:ascii="Arial" w:hAnsi="Arial"/>
      <w:sz w:val="18"/>
    </w:rPr>
  </w:style>
  <w:style w:type="paragraph" w:styleId="Footer">
    <w:name w:val="footer"/>
    <w:basedOn w:val="Header"/>
    <w:link w:val="FooterChar"/>
    <w:rsid w:val="0088309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883095"/>
    <w:rPr>
      <w:rFonts w:ascii="Arial" w:eastAsia="SimSun" w:hAnsi="Arial" w:cs="Times New Roman"/>
      <w:b/>
      <w:i/>
      <w:noProof/>
      <w:sz w:val="18"/>
      <w:szCs w:val="20"/>
    </w:rPr>
  </w:style>
  <w:style w:type="paragraph" w:styleId="Caption">
    <w:name w:val="caption"/>
    <w:aliases w:val="cap"/>
    <w:basedOn w:val="Normal"/>
    <w:next w:val="Normal"/>
    <w:qFormat/>
    <w:rsid w:val="00883095"/>
    <w:pPr>
      <w:spacing w:before="120" w:after="120"/>
    </w:pPr>
    <w:rPr>
      <w:b/>
      <w:bCs/>
    </w:rPr>
  </w:style>
  <w:style w:type="paragraph" w:styleId="BodyText">
    <w:name w:val="Body Text"/>
    <w:aliases w:val="bt"/>
    <w:basedOn w:val="Normal"/>
    <w:link w:val="BodyTextChar"/>
    <w:rsid w:val="00883095"/>
    <w:pPr>
      <w:spacing w:after="120"/>
      <w:jc w:val="both"/>
    </w:pPr>
    <w:rPr>
      <w:rFonts w:ascii="Times" w:hAnsi="Times"/>
      <w:szCs w:val="24"/>
    </w:rPr>
  </w:style>
  <w:style w:type="character" w:customStyle="1" w:styleId="BodyTextChar">
    <w:name w:val="Body Text Char"/>
    <w:aliases w:val="bt Char"/>
    <w:basedOn w:val="DefaultParagraphFont"/>
    <w:link w:val="BodyText"/>
    <w:rsid w:val="00883095"/>
    <w:rPr>
      <w:rFonts w:ascii="Times" w:eastAsia="SimSun" w:hAnsi="Times" w:cs="Times New Roman"/>
      <w:sz w:val="20"/>
      <w:szCs w:val="24"/>
    </w:rPr>
  </w:style>
  <w:style w:type="table" w:styleId="TableGrid">
    <w:name w:val="Table Grid"/>
    <w:basedOn w:val="TableNormal"/>
    <w:uiPriority w:val="39"/>
    <w:rsid w:val="00883095"/>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83095"/>
  </w:style>
  <w:style w:type="character" w:customStyle="1" w:styleId="Heading1Char1">
    <w:name w:val="Heading 1 Char1"/>
    <w:link w:val="Heading1"/>
    <w:rsid w:val="00883095"/>
    <w:rPr>
      <w:rFonts w:ascii="Arial" w:eastAsia="SimSun" w:hAnsi="Arial" w:cs="Times New Roman"/>
      <w:sz w:val="36"/>
      <w:szCs w:val="20"/>
      <w:lang w:val="en-GB"/>
    </w:rPr>
  </w:style>
  <w:style w:type="character" w:customStyle="1" w:styleId="TACChar">
    <w:name w:val="TAC Char"/>
    <w:link w:val="TAC"/>
    <w:qFormat/>
    <w:rsid w:val="00883095"/>
    <w:rPr>
      <w:rFonts w:ascii="Arial" w:eastAsia="SimSun" w:hAnsi="Arial" w:cs="Times New Roman"/>
      <w:sz w:val="18"/>
      <w:szCs w:val="20"/>
    </w:rPr>
  </w:style>
  <w:style w:type="paragraph" w:customStyle="1" w:styleId="References">
    <w:name w:val="References"/>
    <w:basedOn w:val="Normal"/>
    <w:qFormat/>
    <w:rsid w:val="00883095"/>
    <w:pPr>
      <w:numPr>
        <w:numId w:val="3"/>
      </w:numPr>
      <w:overflowPunct/>
      <w:adjustRightInd/>
      <w:snapToGrid w:val="0"/>
      <w:spacing w:after="60"/>
      <w:jc w:val="both"/>
      <w:textAlignment w:val="auto"/>
    </w:pPr>
    <w:rPr>
      <w:szCs w:val="16"/>
    </w:rPr>
  </w:style>
  <w:style w:type="character" w:customStyle="1" w:styleId="TAHCar">
    <w:name w:val="TAH Car"/>
    <w:link w:val="TAH"/>
    <w:qFormat/>
    <w:locked/>
    <w:rsid w:val="00883095"/>
    <w:rPr>
      <w:rFonts w:ascii="Arial" w:eastAsia="SimSun" w:hAnsi="Arial" w:cs="Times New Roman"/>
      <w:sz w:val="18"/>
      <w:szCs w:val="20"/>
    </w:rPr>
  </w:style>
  <w:style w:type="table" w:customStyle="1" w:styleId="2">
    <w:name w:val="网格型2"/>
    <w:basedOn w:val="TableNormal"/>
    <w:uiPriority w:val="39"/>
    <w:qFormat/>
    <w:rsid w:val="00883095"/>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883095"/>
    <w:pPr>
      <w:tabs>
        <w:tab w:val="center" w:pos="4680"/>
        <w:tab w:val="right" w:pos="9360"/>
      </w:tabs>
      <w:spacing w:after="0"/>
    </w:pPr>
  </w:style>
  <w:style w:type="character" w:customStyle="1" w:styleId="HeaderChar">
    <w:name w:val="Header Char"/>
    <w:basedOn w:val="DefaultParagraphFont"/>
    <w:link w:val="Header"/>
    <w:uiPriority w:val="99"/>
    <w:semiHidden/>
    <w:rsid w:val="00883095"/>
    <w:rPr>
      <w:rFonts w:ascii="Times New Roman" w:eastAsia="SimSun" w:hAnsi="Times New Roman" w:cs="Times New Roman"/>
      <w:sz w:val="20"/>
      <w:szCs w:val="20"/>
    </w:rPr>
  </w:style>
  <w:style w:type="paragraph" w:styleId="Revision">
    <w:name w:val="Revision"/>
    <w:hidden/>
    <w:uiPriority w:val="99"/>
    <w:semiHidden/>
    <w:rsid w:val="00D77A75"/>
    <w:pPr>
      <w:spacing w:after="0" w:line="240" w:lineRule="auto"/>
    </w:pPr>
    <w:rPr>
      <w:rFonts w:ascii="Times New Roman" w:hAnsi="Times New Roman" w:cs="Times New Roman"/>
      <w:sz w:val="20"/>
      <w:szCs w:val="20"/>
    </w:rPr>
  </w:style>
  <w:style w:type="character" w:styleId="CommentReference">
    <w:name w:val="annotation reference"/>
    <w:basedOn w:val="DefaultParagraphFont"/>
    <w:uiPriority w:val="99"/>
    <w:semiHidden/>
    <w:unhideWhenUsed/>
    <w:rsid w:val="001130A0"/>
    <w:rPr>
      <w:sz w:val="16"/>
      <w:szCs w:val="16"/>
    </w:rPr>
  </w:style>
  <w:style w:type="paragraph" w:styleId="CommentText">
    <w:name w:val="annotation text"/>
    <w:basedOn w:val="Normal"/>
    <w:link w:val="CommentTextChar"/>
    <w:uiPriority w:val="99"/>
    <w:unhideWhenUsed/>
    <w:rsid w:val="001130A0"/>
  </w:style>
  <w:style w:type="character" w:customStyle="1" w:styleId="CommentTextChar">
    <w:name w:val="Comment Text Char"/>
    <w:basedOn w:val="DefaultParagraphFont"/>
    <w:link w:val="CommentText"/>
    <w:uiPriority w:val="99"/>
    <w:rsid w:val="001130A0"/>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130A0"/>
    <w:rPr>
      <w:b/>
      <w:bCs/>
    </w:rPr>
  </w:style>
  <w:style w:type="character" w:customStyle="1" w:styleId="CommentSubjectChar">
    <w:name w:val="Comment Subject Char"/>
    <w:basedOn w:val="CommentTextChar"/>
    <w:link w:val="CommentSubject"/>
    <w:uiPriority w:val="99"/>
    <w:semiHidden/>
    <w:rsid w:val="001130A0"/>
    <w:rPr>
      <w:rFonts w:ascii="Times New Roman" w:eastAsia="SimSu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F1DBE-060D-4F56-B1A0-139FBA80F8F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159</TotalTime>
  <Pages>1</Pages>
  <Words>916</Words>
  <Characters>5224</Characters>
  <Application>Microsoft Office Word</Application>
  <DocSecurity>4</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Emara</dc:creator>
  <cp:keywords/>
  <dc:description/>
  <cp:lastModifiedBy>Mustafa Emara</cp:lastModifiedBy>
  <cp:revision>62</cp:revision>
  <dcterms:created xsi:type="dcterms:W3CDTF">2023-02-16T19:29:00Z</dcterms:created>
  <dcterms:modified xsi:type="dcterms:W3CDTF">2023-02-17T23:31:00Z</dcterms:modified>
</cp:coreProperties>
</file>